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emf" ContentType="image/x-emf"/>
  <Default Extension="rels" ContentType="application/vnd.openxmlformats-package.relationships+xml"/>
  <Default Extension="wdp" ContentType="image/vnd.ms-photo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76505B" w14:textId="7C68DD82" w:rsidR="003F07E3" w:rsidRDefault="007324D9">
      <w:r>
        <w:rPr>
          <w:noProof/>
        </w:rPr>
        <w:drawing>
          <wp:inline distT="0" distB="0" distL="0" distR="0" wp14:anchorId="5E06B49E" wp14:editId="424BFCEC">
            <wp:extent cx="4002259" cy="2668173"/>
            <wp:effectExtent l="0" t="0" r="1143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56844439_68906dec90_o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259" cy="2668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E5174" w14:textId="77777777" w:rsidR="007324D9" w:rsidRDefault="007324D9"/>
    <w:p w14:paraId="2AFAB1BC" w14:textId="289D1A16" w:rsidR="007324D9" w:rsidRPr="00EA79BF" w:rsidRDefault="007324D9" w:rsidP="007324D9">
      <w:pPr>
        <w:pStyle w:val="FigHeading"/>
        <w:spacing w:line="271" w:lineRule="auto"/>
        <w:outlineLvl w:val="4"/>
        <w:rPr>
          <w:rFonts w:eastAsia="맑은 고딕"/>
          <w:b/>
          <w:lang w:eastAsia="ko-KR"/>
        </w:rPr>
      </w:pPr>
      <w:r w:rsidRPr="00EA79BF">
        <w:rPr>
          <w:b/>
        </w:rPr>
        <w:t>Figure</w:t>
      </w:r>
      <w:r>
        <w:rPr>
          <w:b/>
        </w:rPr>
        <w:t xml:space="preserve"> 7</w:t>
      </w:r>
      <w:r w:rsidRPr="00EA79BF">
        <w:rPr>
          <w:rFonts w:eastAsia="맑은 고딕" w:hint="eastAsia"/>
          <w:b/>
          <w:noProof/>
          <w:sz w:val="24"/>
          <w:lang w:eastAsia="ko-KR"/>
        </w:rPr>
        <w:t>.</w:t>
      </w:r>
    </w:p>
    <w:p w14:paraId="6E5465F1" w14:textId="1A8F5E01" w:rsidR="007324D9" w:rsidRPr="00FC4ABC" w:rsidRDefault="007324D9" w:rsidP="007324D9">
      <w:pPr>
        <w:pStyle w:val="Caption"/>
        <w:rPr>
          <w:noProof/>
          <w:lang w:val="en-CA" w:bidi="ar-SA"/>
        </w:rPr>
      </w:pPr>
      <w:bookmarkStart w:id="0" w:name="_GoBack"/>
      <w:r>
        <w:rPr>
          <w:noProof/>
          <w:lang w:bidi="ar-SA"/>
        </w:rPr>
        <w:t>Hand pollination of a pumpkin flower. When Mendel was doing his crosses with pea plants, he pollinated each flower by hand in a similar way in order to be sure he knew the parents of each cross.</w:t>
      </w:r>
      <w:r>
        <w:rPr>
          <w:noProof/>
          <w:lang w:bidi="ar-SA"/>
        </w:rPr>
        <w:t xml:space="preserve"> </w:t>
      </w:r>
      <w:r>
        <w:rPr>
          <w:noProof/>
          <w:lang w:bidi="ar-SA"/>
        </w:rPr>
        <w:t>(Flickr-</w:t>
      </w:r>
      <w:r>
        <w:rPr>
          <w:noProof/>
          <w:lang w:val="en-CA" w:bidi="ar-SA"/>
        </w:rPr>
        <w:t>S.</w:t>
      </w:r>
      <w:r w:rsidRPr="00FC4ABC">
        <w:rPr>
          <w:noProof/>
          <w:lang w:val="en-CA" w:bidi="ar-SA"/>
        </w:rPr>
        <w:t xml:space="preserve"> Hurmerinta</w:t>
      </w:r>
      <w:r>
        <w:rPr>
          <w:noProof/>
          <w:lang w:val="en-CA" w:bidi="ar-SA"/>
        </w:rPr>
        <w:t>-</w:t>
      </w:r>
      <w:r>
        <w:t xml:space="preserve"> </w:t>
      </w:r>
      <w:r w:rsidRPr="00D60575">
        <w:rPr>
          <w:noProof/>
          <w:lang w:val="en-CA" w:bidi="ar-SA"/>
        </w:rPr>
        <w:t>CC BY-NC 2.0</w:t>
      </w:r>
    </w:p>
    <w:bookmarkEnd w:id="0"/>
    <w:p w14:paraId="0B67A04B" w14:textId="77777777" w:rsidR="007324D9" w:rsidRDefault="007324D9"/>
    <w:p w14:paraId="217D05DC" w14:textId="77777777" w:rsidR="007324D9" w:rsidRDefault="007324D9"/>
    <w:p w14:paraId="54568DA1" w14:textId="77777777" w:rsidR="007324D9" w:rsidRDefault="007324D9"/>
    <w:p w14:paraId="178448FC" w14:textId="31152253" w:rsidR="007324D9" w:rsidRDefault="007324D9">
      <w:r>
        <w:rPr>
          <w:noProof/>
        </w:rPr>
        <w:drawing>
          <wp:inline distT="0" distB="0" distL="0" distR="0" wp14:anchorId="12D29DC7" wp14:editId="34FB83AE">
            <wp:extent cx="2507858" cy="15125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3Fig2(dihybrid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858" cy="151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0A9D0" w14:textId="77777777" w:rsidR="007324D9" w:rsidRDefault="007324D9"/>
    <w:p w14:paraId="53AF683A" w14:textId="4504DEBB" w:rsidR="007324D9" w:rsidRDefault="007324D9">
      <w:r>
        <w:t>Figure 8</w:t>
      </w:r>
    </w:p>
    <w:p w14:paraId="2FF78061" w14:textId="5BE01277" w:rsidR="007324D9" w:rsidRDefault="007324D9" w:rsidP="007324D9">
      <w:pPr>
        <w:pStyle w:val="Caption"/>
      </w:pPr>
      <w:r>
        <w:t xml:space="preserve">Monohybrid crosses involving two distinct traits in peas. </w:t>
      </w:r>
      <w:r w:rsidRPr="00EA79BF">
        <w:rPr>
          <w:b/>
        </w:rPr>
        <w:t>a)</w:t>
      </w:r>
      <w:r>
        <w:t xml:space="preserve"> is W/w and </w:t>
      </w:r>
      <w:r w:rsidRPr="00EA79BF">
        <w:rPr>
          <w:b/>
        </w:rPr>
        <w:t>b)</w:t>
      </w:r>
      <w:r>
        <w:t xml:space="preserve"> is G/g.  Note that seeds in a) also contain a “g” gene that would be homozygous recessive, but this isn’t written out.  Seeds in b) are have a “w” gene, but they would be heterozygous or homozygous dominant.  By convention, unless a gene is specifically referenced in the problem, we don’t write it down – but it’s still there!</w:t>
      </w:r>
      <w:r>
        <w:t xml:space="preserve">   </w:t>
      </w:r>
      <w:r w:rsidRPr="009B6FA6">
        <w:t>(Original-</w:t>
      </w:r>
      <w:proofErr w:type="spellStart"/>
      <w:r w:rsidRPr="009B6FA6">
        <w:t>Deyholos</w:t>
      </w:r>
      <w:proofErr w:type="spellEnd"/>
      <w:r w:rsidRPr="009B6FA6">
        <w:t>-</w:t>
      </w:r>
      <w:r>
        <w:t>CC BY-NC 3.0-Modified-Nickle</w:t>
      </w:r>
      <w:r w:rsidRPr="009B6FA6">
        <w:t>)</w:t>
      </w:r>
    </w:p>
    <w:p w14:paraId="0B3E66D8" w14:textId="77777777" w:rsidR="007324D9" w:rsidRDefault="007324D9"/>
    <w:p w14:paraId="73FC23EA" w14:textId="6EA4BFD8" w:rsidR="007324D9" w:rsidRDefault="007324D9">
      <w:r>
        <w:rPr>
          <w:noProof/>
        </w:rPr>
        <w:lastRenderedPageBreak/>
        <w:drawing>
          <wp:inline distT="0" distB="0" distL="0" distR="0" wp14:anchorId="4160C62B" wp14:editId="389F2D79">
            <wp:extent cx="3105495" cy="43053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pendent assortment diff chrom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876" cy="431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147AE" w14:textId="77777777" w:rsidR="007324D9" w:rsidRDefault="007324D9"/>
    <w:p w14:paraId="0397BFFF" w14:textId="77777777" w:rsidR="007324D9" w:rsidRDefault="007324D9"/>
    <w:p w14:paraId="6FAD4EAF" w14:textId="77777777" w:rsidR="007324D9" w:rsidRDefault="007324D9"/>
    <w:p w14:paraId="66B0807D" w14:textId="18FAD94C" w:rsidR="007324D9" w:rsidRDefault="007324D9">
      <w:r>
        <w:t>Figure 9</w:t>
      </w:r>
    </w:p>
    <w:p w14:paraId="3FAA16FF" w14:textId="77777777" w:rsidR="007324D9" w:rsidRDefault="007324D9" w:rsidP="007324D9">
      <w:pPr>
        <w:pStyle w:val="Caption"/>
      </w:pPr>
      <w:r>
        <w:t>Independent assortment as seen on two different chromosomes. Gene A is found on the short chromosome and Gene B is found on the long chromosome, and both genes are heterozygotes for the dominant (A and B) and recessive (</w:t>
      </w:r>
      <w:proofErr w:type="gramStart"/>
      <w:r>
        <w:t>a</w:t>
      </w:r>
      <w:proofErr w:type="gramEnd"/>
      <w:r>
        <w:t xml:space="preserve"> and b) alleles. The orientation that the chromosomes align themselves during metaphase I affect the alleles found in the 4 gametes produced after telophase II. </w:t>
      </w:r>
    </w:p>
    <w:p w14:paraId="1C3E316D" w14:textId="7B40FE37" w:rsidR="007324D9" w:rsidRDefault="007324D9" w:rsidP="007324D9">
      <w:r>
        <w:t>These are just two of many orientations the chromosomes can arrange themselves in at metaphase I. The full stages of meiosis were removed for simplicity; refer to chapter 16 to understand the divisions that lead to the 4 gametes seen in telophase II.  (Original-</w:t>
      </w:r>
      <w:proofErr w:type="spellStart"/>
      <w:proofErr w:type="gramStart"/>
      <w:r>
        <w:t>L.Canham</w:t>
      </w:r>
      <w:proofErr w:type="spellEnd"/>
      <w:proofErr w:type="gramEnd"/>
      <w:r>
        <w:t>-CC BY-NC 3.0)</w:t>
      </w:r>
    </w:p>
    <w:p w14:paraId="07656C0F" w14:textId="77777777" w:rsidR="007324D9" w:rsidRDefault="007324D9" w:rsidP="007324D9"/>
    <w:p w14:paraId="58EF3A76" w14:textId="64B2529F" w:rsidR="007324D9" w:rsidRDefault="007324D9" w:rsidP="007324D9">
      <w:r>
        <w:rPr>
          <w:noProof/>
        </w:rPr>
        <w:drawing>
          <wp:inline distT="0" distB="0" distL="0" distR="0" wp14:anchorId="28187B20" wp14:editId="4E383A8A">
            <wp:extent cx="3094886" cy="4295553"/>
            <wp:effectExtent l="1905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pendent assortment same chrom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671" cy="429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473C5" w14:textId="77777777" w:rsidR="007324D9" w:rsidRDefault="007324D9" w:rsidP="007324D9">
      <w:r>
        <w:t>Chapter 10</w:t>
      </w:r>
    </w:p>
    <w:p w14:paraId="2F99A7AF" w14:textId="77777777" w:rsidR="007324D9" w:rsidRDefault="007324D9" w:rsidP="007324D9">
      <w:pPr>
        <w:pStyle w:val="Caption"/>
      </w:pPr>
      <w:r>
        <w:t xml:space="preserve">Independent assortment as seen on the same chromosome. On the top is an example of what would happen in crossovers did not take place. The dominant alleles of Gene </w:t>
      </w:r>
      <w:r>
        <w:rPr>
          <w:i/>
        </w:rPr>
        <w:t>A</w:t>
      </w:r>
      <w:r>
        <w:t xml:space="preserve"> and Gene </w:t>
      </w:r>
      <w:r>
        <w:rPr>
          <w:i/>
        </w:rPr>
        <w:t xml:space="preserve">D </w:t>
      </w:r>
      <w:r>
        <w:t>would always travel together, not leading to independent assortment. Crossovers do occur in most situations though, like in the bottom half of the figure. If a crossover occurs between the two genes, then the alleles will transfer to the other non-sister chromatid causing a shuffling of alleles. This allows for independent assortment, despite being on the same chromosome.</w:t>
      </w:r>
    </w:p>
    <w:p w14:paraId="6CA2B7DA" w14:textId="34C2A457" w:rsidR="007324D9" w:rsidRDefault="007324D9" w:rsidP="007324D9">
      <w:r>
        <w:t xml:space="preserve">This is just one of the many arrangements or crossover events that can occur during meiosis, with every </w:t>
      </w:r>
      <w:proofErr w:type="spellStart"/>
      <w:r>
        <w:t>meiocyte</w:t>
      </w:r>
      <w:proofErr w:type="spellEnd"/>
      <w:r>
        <w:t xml:space="preserve"> arranging themselves differently with different crossovers.  (Original-</w:t>
      </w:r>
      <w:proofErr w:type="spellStart"/>
      <w:proofErr w:type="gramStart"/>
      <w:r>
        <w:t>L.Canham</w:t>
      </w:r>
      <w:proofErr w:type="spellEnd"/>
      <w:proofErr w:type="gramEnd"/>
      <w:r>
        <w:t>-CC BY-NC 3.0)</w:t>
      </w:r>
    </w:p>
    <w:p w14:paraId="234A0F2E" w14:textId="77777777" w:rsidR="007324D9" w:rsidRDefault="007324D9" w:rsidP="007324D9"/>
    <w:p w14:paraId="6B351D8B" w14:textId="4654661B" w:rsidR="007324D9" w:rsidRDefault="007324D9" w:rsidP="007324D9">
      <w:r>
        <w:rPr>
          <w:noProof/>
        </w:rPr>
        <w:drawing>
          <wp:inline distT="0" distB="0" distL="0" distR="0" wp14:anchorId="2EDE0495" wp14:editId="16629BC0">
            <wp:extent cx="2012515" cy="224633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3Fig5(dihybrid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515" cy="224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B426C" w14:textId="2A0D7BAB" w:rsidR="007324D9" w:rsidRDefault="007324D9" w:rsidP="007324D9">
      <w:r>
        <w:t>Figure 11</w:t>
      </w:r>
    </w:p>
    <w:p w14:paraId="5FFDE37F" w14:textId="541BB839" w:rsidR="007324D9" w:rsidRDefault="007324D9" w:rsidP="007324D9">
      <w:r>
        <w:t>Two p</w:t>
      </w:r>
      <w:r w:rsidRPr="005D3390">
        <w:t>ure-breeding lines are crossed to produce dihybrids in the F1 generation. The</w:t>
      </w:r>
      <w:r>
        <w:t xml:space="preserve">se F1 are crossed to </w:t>
      </w:r>
      <w:r w:rsidRPr="005D3390">
        <w:t>produce four phenotypic classes</w:t>
      </w:r>
      <w:r>
        <w:t>, which appear in a 9:3:3:1 ratio</w:t>
      </w:r>
      <w:r>
        <w:t xml:space="preserve">. </w:t>
      </w:r>
      <w:r w:rsidRPr="005D3390">
        <w:t xml:space="preserve"> (Original-</w:t>
      </w:r>
      <w:proofErr w:type="spellStart"/>
      <w:r w:rsidRPr="005D3390">
        <w:t>Deyholos</w:t>
      </w:r>
      <w:proofErr w:type="spellEnd"/>
      <w:r w:rsidRPr="005D3390">
        <w:t>-</w:t>
      </w:r>
      <w:r>
        <w:t>CC BY-NC 3.0 modified by Nickle)</w:t>
      </w:r>
    </w:p>
    <w:p w14:paraId="624E249D" w14:textId="77777777" w:rsidR="007324D9" w:rsidRDefault="007324D9" w:rsidP="007324D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6"/>
        <w:gridCol w:w="694"/>
        <w:gridCol w:w="694"/>
        <w:gridCol w:w="680"/>
        <w:gridCol w:w="680"/>
      </w:tblGrid>
      <w:tr w:rsidR="007324D9" w14:paraId="17314E2E" w14:textId="77777777" w:rsidTr="00C01CFE"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14:paraId="1D357345" w14:textId="77777777" w:rsidR="007324D9" w:rsidRDefault="007324D9" w:rsidP="00C01CFE">
            <w:pPr>
              <w:pStyle w:val="Caption"/>
              <w:jc w:val="center"/>
            </w:pPr>
          </w:p>
        </w:tc>
        <w:tc>
          <w:tcPr>
            <w:tcW w:w="680" w:type="dxa"/>
            <w:tcBorders>
              <w:top w:val="nil"/>
              <w:left w:val="nil"/>
              <w:right w:val="nil"/>
            </w:tcBorders>
          </w:tcPr>
          <w:p w14:paraId="2693D18B" w14:textId="77777777" w:rsidR="007324D9" w:rsidRDefault="007324D9" w:rsidP="00C01CFE">
            <w:pPr>
              <w:pStyle w:val="Caption"/>
              <w:jc w:val="center"/>
            </w:pPr>
            <w:r>
              <w:t>W ; G</w:t>
            </w:r>
          </w:p>
        </w:tc>
        <w:tc>
          <w:tcPr>
            <w:tcW w:w="680" w:type="dxa"/>
            <w:tcBorders>
              <w:top w:val="nil"/>
              <w:left w:val="nil"/>
              <w:right w:val="nil"/>
            </w:tcBorders>
          </w:tcPr>
          <w:p w14:paraId="0FDA932C" w14:textId="77777777" w:rsidR="007324D9" w:rsidRDefault="007324D9" w:rsidP="00C01CFE">
            <w:pPr>
              <w:pStyle w:val="Caption"/>
              <w:jc w:val="center"/>
            </w:pPr>
            <w:r>
              <w:t>W ; g</w:t>
            </w:r>
          </w:p>
        </w:tc>
        <w:tc>
          <w:tcPr>
            <w:tcW w:w="680" w:type="dxa"/>
            <w:tcBorders>
              <w:top w:val="nil"/>
              <w:left w:val="nil"/>
              <w:right w:val="nil"/>
            </w:tcBorders>
          </w:tcPr>
          <w:p w14:paraId="4F4CB203" w14:textId="77777777" w:rsidR="007324D9" w:rsidRDefault="007324D9" w:rsidP="00C01CFE">
            <w:pPr>
              <w:pStyle w:val="Caption"/>
              <w:jc w:val="center"/>
            </w:pPr>
            <w:r>
              <w:t>w ; G</w:t>
            </w:r>
          </w:p>
        </w:tc>
        <w:tc>
          <w:tcPr>
            <w:tcW w:w="680" w:type="dxa"/>
            <w:tcBorders>
              <w:top w:val="nil"/>
              <w:left w:val="nil"/>
              <w:right w:val="nil"/>
            </w:tcBorders>
          </w:tcPr>
          <w:p w14:paraId="4C55EB51" w14:textId="77777777" w:rsidR="007324D9" w:rsidRDefault="007324D9" w:rsidP="00C01CFE">
            <w:pPr>
              <w:pStyle w:val="Caption"/>
              <w:jc w:val="center"/>
            </w:pPr>
            <w:r>
              <w:t>w ; g</w:t>
            </w:r>
          </w:p>
        </w:tc>
      </w:tr>
      <w:tr w:rsidR="007324D9" w14:paraId="62F2BD70" w14:textId="77777777" w:rsidTr="00C01CFE">
        <w:trPr>
          <w:cantSplit/>
          <w:trHeight w:val="680"/>
        </w:trPr>
        <w:tc>
          <w:tcPr>
            <w:tcW w:w="946" w:type="dxa"/>
            <w:tcBorders>
              <w:top w:val="nil"/>
              <w:left w:val="nil"/>
              <w:bottom w:val="nil"/>
            </w:tcBorders>
          </w:tcPr>
          <w:p w14:paraId="7486E805" w14:textId="77777777" w:rsidR="007324D9" w:rsidRDefault="007324D9" w:rsidP="00C01CFE">
            <w:pPr>
              <w:pStyle w:val="Caption"/>
              <w:jc w:val="center"/>
            </w:pPr>
          </w:p>
          <w:p w14:paraId="599106B0" w14:textId="77777777" w:rsidR="007324D9" w:rsidRDefault="007324D9" w:rsidP="00C01CFE">
            <w:pPr>
              <w:pStyle w:val="Caption"/>
              <w:jc w:val="center"/>
            </w:pPr>
            <w:r>
              <w:t>W ; G</w:t>
            </w:r>
          </w:p>
        </w:tc>
        <w:tc>
          <w:tcPr>
            <w:tcW w:w="680" w:type="dxa"/>
            <w:shd w:val="clear" w:color="auto" w:fill="FFFF6A"/>
            <w:vAlign w:val="center"/>
          </w:tcPr>
          <w:p w14:paraId="2BBA6ED2" w14:textId="77777777" w:rsidR="007324D9" w:rsidRDefault="007324D9" w:rsidP="00C01CFE">
            <w:pPr>
              <w:pStyle w:val="Caption"/>
              <w:jc w:val="center"/>
            </w:pPr>
            <w:r>
              <w:t>W/W;</w:t>
            </w:r>
          </w:p>
          <w:p w14:paraId="2A3A42CF" w14:textId="77777777" w:rsidR="007324D9" w:rsidRDefault="007324D9" w:rsidP="00C01CFE">
            <w:pPr>
              <w:pStyle w:val="Caption"/>
              <w:jc w:val="center"/>
            </w:pPr>
            <w:r>
              <w:t>G/G</w:t>
            </w:r>
          </w:p>
        </w:tc>
        <w:tc>
          <w:tcPr>
            <w:tcW w:w="680" w:type="dxa"/>
            <w:shd w:val="clear" w:color="auto" w:fill="FFFF6A"/>
            <w:vAlign w:val="center"/>
          </w:tcPr>
          <w:p w14:paraId="1821D4D8" w14:textId="77777777" w:rsidR="007324D9" w:rsidRDefault="007324D9" w:rsidP="00C01CFE">
            <w:pPr>
              <w:pStyle w:val="Caption"/>
              <w:jc w:val="center"/>
            </w:pPr>
            <w:r>
              <w:t>W/W; G/g</w:t>
            </w:r>
          </w:p>
        </w:tc>
        <w:tc>
          <w:tcPr>
            <w:tcW w:w="680" w:type="dxa"/>
            <w:shd w:val="clear" w:color="auto" w:fill="FFFF6A"/>
            <w:vAlign w:val="center"/>
          </w:tcPr>
          <w:p w14:paraId="64EF2D8C" w14:textId="77777777" w:rsidR="007324D9" w:rsidRDefault="007324D9" w:rsidP="00C01CFE">
            <w:pPr>
              <w:pStyle w:val="Caption"/>
              <w:jc w:val="center"/>
            </w:pPr>
            <w:r>
              <w:t>W/w; G/G</w:t>
            </w:r>
          </w:p>
        </w:tc>
        <w:tc>
          <w:tcPr>
            <w:tcW w:w="680" w:type="dxa"/>
            <w:shd w:val="clear" w:color="auto" w:fill="FFFF6A"/>
            <w:vAlign w:val="center"/>
          </w:tcPr>
          <w:p w14:paraId="46B32DD9" w14:textId="77777777" w:rsidR="007324D9" w:rsidRDefault="007324D9" w:rsidP="00C01CFE">
            <w:pPr>
              <w:pStyle w:val="Caption"/>
              <w:jc w:val="center"/>
            </w:pPr>
            <w:r>
              <w:t>W/w; G/g</w:t>
            </w:r>
          </w:p>
        </w:tc>
      </w:tr>
      <w:tr w:rsidR="007324D9" w14:paraId="0C5C8404" w14:textId="77777777" w:rsidTr="00C01CFE">
        <w:trPr>
          <w:cantSplit/>
          <w:trHeight w:val="680"/>
        </w:trPr>
        <w:tc>
          <w:tcPr>
            <w:tcW w:w="946" w:type="dxa"/>
            <w:tcBorders>
              <w:top w:val="nil"/>
              <w:left w:val="nil"/>
              <w:bottom w:val="nil"/>
            </w:tcBorders>
          </w:tcPr>
          <w:p w14:paraId="767FF4AF" w14:textId="77777777" w:rsidR="007324D9" w:rsidRDefault="007324D9" w:rsidP="00C01CFE">
            <w:pPr>
              <w:pStyle w:val="Caption"/>
              <w:jc w:val="center"/>
            </w:pPr>
          </w:p>
          <w:p w14:paraId="155A6933" w14:textId="77777777" w:rsidR="007324D9" w:rsidRDefault="007324D9" w:rsidP="00C01CFE">
            <w:pPr>
              <w:pStyle w:val="Caption"/>
              <w:jc w:val="center"/>
            </w:pPr>
            <w:r>
              <w:t>W ; g</w:t>
            </w:r>
          </w:p>
        </w:tc>
        <w:tc>
          <w:tcPr>
            <w:tcW w:w="680" w:type="dxa"/>
            <w:shd w:val="clear" w:color="auto" w:fill="FFFF6A"/>
            <w:vAlign w:val="center"/>
          </w:tcPr>
          <w:p w14:paraId="48829880" w14:textId="77777777" w:rsidR="007324D9" w:rsidRDefault="007324D9" w:rsidP="00C01CFE">
            <w:pPr>
              <w:pStyle w:val="Caption"/>
              <w:jc w:val="center"/>
            </w:pPr>
            <w:r>
              <w:t>W/W; G/g</w:t>
            </w:r>
          </w:p>
        </w:tc>
        <w:tc>
          <w:tcPr>
            <w:tcW w:w="680" w:type="dxa"/>
            <w:shd w:val="clear" w:color="auto" w:fill="92D050"/>
            <w:vAlign w:val="center"/>
          </w:tcPr>
          <w:p w14:paraId="55215192" w14:textId="77777777" w:rsidR="007324D9" w:rsidRDefault="007324D9" w:rsidP="00C01CFE">
            <w:pPr>
              <w:pStyle w:val="Caption"/>
              <w:jc w:val="center"/>
            </w:pPr>
            <w:r>
              <w:t>W/W; g/g</w:t>
            </w:r>
          </w:p>
        </w:tc>
        <w:tc>
          <w:tcPr>
            <w:tcW w:w="680" w:type="dxa"/>
            <w:shd w:val="clear" w:color="auto" w:fill="FFFF6A"/>
            <w:vAlign w:val="center"/>
          </w:tcPr>
          <w:p w14:paraId="7A433D87" w14:textId="77777777" w:rsidR="007324D9" w:rsidRDefault="007324D9" w:rsidP="00C01CFE">
            <w:pPr>
              <w:pStyle w:val="Caption"/>
              <w:jc w:val="center"/>
            </w:pPr>
            <w:r>
              <w:t>W/w; G/g</w:t>
            </w:r>
          </w:p>
        </w:tc>
        <w:tc>
          <w:tcPr>
            <w:tcW w:w="680" w:type="dxa"/>
            <w:shd w:val="clear" w:color="auto" w:fill="92D050"/>
            <w:vAlign w:val="center"/>
          </w:tcPr>
          <w:p w14:paraId="009C6F0A" w14:textId="77777777" w:rsidR="007324D9" w:rsidRDefault="007324D9" w:rsidP="00C01CFE">
            <w:pPr>
              <w:pStyle w:val="Caption"/>
              <w:jc w:val="center"/>
            </w:pPr>
            <w:r>
              <w:t>W/w; g/g</w:t>
            </w:r>
          </w:p>
        </w:tc>
      </w:tr>
      <w:tr w:rsidR="007324D9" w14:paraId="4F3127E6" w14:textId="77777777" w:rsidTr="00C01CFE">
        <w:trPr>
          <w:cantSplit/>
          <w:trHeight w:val="680"/>
        </w:trPr>
        <w:tc>
          <w:tcPr>
            <w:tcW w:w="946" w:type="dxa"/>
            <w:tcBorders>
              <w:top w:val="nil"/>
              <w:left w:val="nil"/>
              <w:bottom w:val="nil"/>
            </w:tcBorders>
          </w:tcPr>
          <w:p w14:paraId="25DADAEE" w14:textId="77777777" w:rsidR="007324D9" w:rsidRDefault="007324D9" w:rsidP="00C01CFE">
            <w:pPr>
              <w:pStyle w:val="Caption"/>
              <w:jc w:val="center"/>
            </w:pPr>
          </w:p>
          <w:p w14:paraId="54413577" w14:textId="77777777" w:rsidR="007324D9" w:rsidRDefault="007324D9" w:rsidP="00C01CFE">
            <w:pPr>
              <w:pStyle w:val="Caption"/>
              <w:jc w:val="center"/>
            </w:pPr>
            <w:r>
              <w:t>w ; G</w:t>
            </w:r>
          </w:p>
        </w:tc>
        <w:tc>
          <w:tcPr>
            <w:tcW w:w="680" w:type="dxa"/>
            <w:shd w:val="clear" w:color="auto" w:fill="FFFF6A"/>
            <w:vAlign w:val="center"/>
          </w:tcPr>
          <w:p w14:paraId="64ACFB6B" w14:textId="77777777" w:rsidR="007324D9" w:rsidRDefault="007324D9" w:rsidP="00C01CFE">
            <w:pPr>
              <w:pStyle w:val="Caption"/>
              <w:jc w:val="center"/>
            </w:pPr>
            <w:r>
              <w:t>W/w; G/G</w:t>
            </w:r>
          </w:p>
        </w:tc>
        <w:tc>
          <w:tcPr>
            <w:tcW w:w="680" w:type="dxa"/>
            <w:shd w:val="clear" w:color="auto" w:fill="FFFF6A"/>
            <w:vAlign w:val="center"/>
          </w:tcPr>
          <w:p w14:paraId="5B3630A7" w14:textId="77777777" w:rsidR="007324D9" w:rsidRDefault="007324D9" w:rsidP="00C01CFE">
            <w:pPr>
              <w:pStyle w:val="Caption"/>
              <w:jc w:val="center"/>
            </w:pPr>
            <w:r>
              <w:t>W/w; G/g</w:t>
            </w:r>
          </w:p>
        </w:tc>
        <w:tc>
          <w:tcPr>
            <w:tcW w:w="680" w:type="dxa"/>
            <w:shd w:val="clear" w:color="auto" w:fill="B4C6E7" w:themeFill="accent5" w:themeFillTint="66"/>
            <w:vAlign w:val="center"/>
          </w:tcPr>
          <w:p w14:paraId="48F56F61" w14:textId="77777777" w:rsidR="007324D9" w:rsidRDefault="007324D9" w:rsidP="00C01CFE">
            <w:pPr>
              <w:pStyle w:val="Caption"/>
              <w:jc w:val="center"/>
            </w:pPr>
            <w:r>
              <w:t>w/w; G/G</w:t>
            </w:r>
          </w:p>
        </w:tc>
        <w:tc>
          <w:tcPr>
            <w:tcW w:w="680" w:type="dxa"/>
            <w:shd w:val="clear" w:color="auto" w:fill="B4C6E7" w:themeFill="accent5" w:themeFillTint="66"/>
            <w:vAlign w:val="center"/>
          </w:tcPr>
          <w:p w14:paraId="0ABEA79F" w14:textId="77777777" w:rsidR="007324D9" w:rsidRDefault="007324D9" w:rsidP="00C01CFE">
            <w:pPr>
              <w:pStyle w:val="Caption"/>
              <w:jc w:val="center"/>
            </w:pPr>
            <w:r>
              <w:t>w/w; G/g</w:t>
            </w:r>
          </w:p>
        </w:tc>
      </w:tr>
      <w:tr w:rsidR="007324D9" w14:paraId="3CF3EAE3" w14:textId="77777777" w:rsidTr="00C01CFE">
        <w:trPr>
          <w:cantSplit/>
          <w:trHeight w:val="680"/>
        </w:trPr>
        <w:tc>
          <w:tcPr>
            <w:tcW w:w="946" w:type="dxa"/>
            <w:tcBorders>
              <w:top w:val="nil"/>
              <w:left w:val="nil"/>
              <w:bottom w:val="nil"/>
            </w:tcBorders>
          </w:tcPr>
          <w:p w14:paraId="580DB1F4" w14:textId="77777777" w:rsidR="007324D9" w:rsidRDefault="007324D9" w:rsidP="00C01CFE">
            <w:pPr>
              <w:pStyle w:val="Caption"/>
              <w:jc w:val="center"/>
            </w:pPr>
          </w:p>
          <w:p w14:paraId="2BD471AE" w14:textId="77777777" w:rsidR="007324D9" w:rsidRDefault="007324D9" w:rsidP="00C01CFE">
            <w:pPr>
              <w:pStyle w:val="Caption"/>
              <w:jc w:val="center"/>
            </w:pPr>
            <w:r>
              <w:t>w ; g</w:t>
            </w:r>
          </w:p>
        </w:tc>
        <w:tc>
          <w:tcPr>
            <w:tcW w:w="680" w:type="dxa"/>
            <w:shd w:val="clear" w:color="auto" w:fill="FFFF6A"/>
            <w:vAlign w:val="center"/>
          </w:tcPr>
          <w:p w14:paraId="1019F2DC" w14:textId="77777777" w:rsidR="007324D9" w:rsidRDefault="007324D9" w:rsidP="00C01CFE">
            <w:pPr>
              <w:pStyle w:val="Caption"/>
              <w:jc w:val="center"/>
            </w:pPr>
            <w:r>
              <w:t>W/w; G/g</w:t>
            </w:r>
          </w:p>
        </w:tc>
        <w:tc>
          <w:tcPr>
            <w:tcW w:w="680" w:type="dxa"/>
            <w:shd w:val="clear" w:color="auto" w:fill="92D050"/>
            <w:vAlign w:val="center"/>
          </w:tcPr>
          <w:p w14:paraId="4E86A2CF" w14:textId="77777777" w:rsidR="007324D9" w:rsidRDefault="007324D9" w:rsidP="00C01CFE">
            <w:pPr>
              <w:pStyle w:val="Caption"/>
              <w:jc w:val="center"/>
            </w:pPr>
            <w:r>
              <w:t>W/w; g/g</w:t>
            </w:r>
          </w:p>
        </w:tc>
        <w:tc>
          <w:tcPr>
            <w:tcW w:w="680" w:type="dxa"/>
            <w:shd w:val="clear" w:color="auto" w:fill="B4C6E7" w:themeFill="accent5" w:themeFillTint="66"/>
            <w:vAlign w:val="center"/>
          </w:tcPr>
          <w:p w14:paraId="1E20C494" w14:textId="77777777" w:rsidR="007324D9" w:rsidRDefault="007324D9" w:rsidP="00C01CFE">
            <w:pPr>
              <w:pStyle w:val="Caption"/>
              <w:jc w:val="center"/>
            </w:pPr>
            <w:r>
              <w:t>w/w; G/g</w:t>
            </w:r>
          </w:p>
        </w:tc>
        <w:tc>
          <w:tcPr>
            <w:tcW w:w="680" w:type="dxa"/>
            <w:shd w:val="clear" w:color="auto" w:fill="92EECD"/>
            <w:vAlign w:val="center"/>
          </w:tcPr>
          <w:p w14:paraId="6A223263" w14:textId="77777777" w:rsidR="007324D9" w:rsidRDefault="007324D9" w:rsidP="00C01CFE">
            <w:pPr>
              <w:pStyle w:val="Caption"/>
              <w:jc w:val="center"/>
            </w:pPr>
            <w:r>
              <w:t>w/w; g/g</w:t>
            </w:r>
          </w:p>
        </w:tc>
      </w:tr>
    </w:tbl>
    <w:p w14:paraId="7FA2A233" w14:textId="77777777" w:rsidR="007324D9" w:rsidRDefault="007324D9" w:rsidP="007324D9"/>
    <w:p w14:paraId="6ADF7E8A" w14:textId="4844B72F" w:rsidR="007324D9" w:rsidRDefault="007324D9" w:rsidP="007324D9">
      <w:r w:rsidRPr="007324D9">
        <w:drawing>
          <wp:inline distT="0" distB="0" distL="0" distR="0" wp14:anchorId="0F346995" wp14:editId="68C334FF">
            <wp:extent cx="3505200" cy="3009900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6565E" w14:textId="3C745554" w:rsidR="007324D9" w:rsidRDefault="007324D9" w:rsidP="007324D9">
      <w:r>
        <w:t>Figure 12</w:t>
      </w:r>
    </w:p>
    <w:p w14:paraId="23D4F97F" w14:textId="29326572" w:rsidR="007324D9" w:rsidRDefault="007324D9" w:rsidP="007324D9">
      <w:r w:rsidRPr="00F26676">
        <w:t>A Punnett Square showing the results of the di</w:t>
      </w:r>
      <w:r>
        <w:t>hybrid cross fro</w:t>
      </w:r>
      <w:r>
        <w:t xml:space="preserve">m </w:t>
      </w:r>
      <w:r w:rsidRPr="007324D9">
        <w:rPr>
          <w:b/>
        </w:rPr>
        <w:t>Figure 11</w:t>
      </w:r>
      <w:r>
        <w:t xml:space="preserve">. </w:t>
      </w:r>
      <w:r w:rsidRPr="00F26676">
        <w:t xml:space="preserve">Each of the four phenotypic classes is represented by a different color of shading. </w:t>
      </w:r>
      <w:r>
        <w:t xml:space="preserve">  </w:t>
      </w:r>
      <w:r w:rsidRPr="00F26676">
        <w:t>(Original-</w:t>
      </w:r>
      <w:r>
        <w:t>Nickle</w:t>
      </w:r>
      <w:r w:rsidRPr="00F26676">
        <w:t>-</w:t>
      </w:r>
      <w:r>
        <w:t>CC BY-NC 3.0</w:t>
      </w:r>
      <w:r w:rsidRPr="00F26676">
        <w:t>)</w:t>
      </w:r>
    </w:p>
    <w:p w14:paraId="5D2C0CB8" w14:textId="77777777" w:rsidR="007324D9" w:rsidRDefault="007324D9" w:rsidP="007324D9"/>
    <w:p w14:paraId="3974111E" w14:textId="77777777" w:rsidR="007324D9" w:rsidRDefault="007324D9" w:rsidP="007324D9"/>
    <w:p w14:paraId="34C18D88" w14:textId="77777777" w:rsidR="007324D9" w:rsidRDefault="007324D9" w:rsidP="007324D9"/>
    <w:p w14:paraId="005F67E3" w14:textId="0A9497CB" w:rsidR="007324D9" w:rsidRDefault="007324D9" w:rsidP="007324D9">
      <w:r>
        <w:t>Figure 13</w:t>
      </w:r>
    </w:p>
    <w:p w14:paraId="7051BB8A" w14:textId="5C4EAF69" w:rsidR="007324D9" w:rsidRDefault="007324D9" w:rsidP="007324D9">
      <w:r>
        <w:t>Punnett square for a test cross. The tester in both cases is the male with the genotype r/</w:t>
      </w:r>
      <w:proofErr w:type="gramStart"/>
      <w:r>
        <w:t>r ;</w:t>
      </w:r>
      <w:proofErr w:type="gramEnd"/>
      <w:r>
        <w:t xml:space="preserve"> y/y . On the left, the unknown has a genotype of R/R; Y/Y. On the right, the unknown has the genotype R/</w:t>
      </w:r>
      <w:proofErr w:type="gramStart"/>
      <w:r>
        <w:t>R ;</w:t>
      </w:r>
      <w:proofErr w:type="gramEnd"/>
      <w:r>
        <w:t xml:space="preserve"> Y/y.  (Original-</w:t>
      </w:r>
      <w:proofErr w:type="spellStart"/>
      <w:proofErr w:type="gramStart"/>
      <w:r>
        <w:t>L.Canham</w:t>
      </w:r>
      <w:proofErr w:type="spellEnd"/>
      <w:proofErr w:type="gramEnd"/>
      <w:r>
        <w:t>-CC BY-NC 3.0)</w:t>
      </w:r>
    </w:p>
    <w:p w14:paraId="01900790" w14:textId="77777777" w:rsidR="007324D9" w:rsidRDefault="007324D9" w:rsidP="007324D9"/>
    <w:p w14:paraId="0D7ED75D" w14:textId="77777777" w:rsidR="007324D9" w:rsidRDefault="007324D9" w:rsidP="007324D9"/>
    <w:p w14:paraId="5618B92A" w14:textId="77777777" w:rsidR="007324D9" w:rsidRDefault="007324D9" w:rsidP="007324D9"/>
    <w:p w14:paraId="0D847650" w14:textId="5805B6AE" w:rsidR="007324D9" w:rsidRDefault="007324D9" w:rsidP="007324D9">
      <w:r>
        <w:t>Figure 14</w:t>
      </w:r>
    </w:p>
    <w:p w14:paraId="5D1844F2" w14:textId="32008349" w:rsidR="007324D9" w:rsidRDefault="007324D9" w:rsidP="007324D9">
      <w:r>
        <w:t>Blank Punnett squares to fill in the other two possibilities of the test cross.</w:t>
      </w:r>
    </w:p>
    <w:p w14:paraId="0D6A9CCF" w14:textId="77777777" w:rsidR="007324D9" w:rsidRDefault="007324D9" w:rsidP="007324D9"/>
    <w:p w14:paraId="4E0E753C" w14:textId="77777777" w:rsidR="007324D9" w:rsidRDefault="007324D9" w:rsidP="007324D9"/>
    <w:p w14:paraId="1BB455F1" w14:textId="77777777" w:rsidR="007324D9" w:rsidRDefault="007324D9" w:rsidP="007324D9"/>
    <w:p w14:paraId="0E9915C4" w14:textId="77777777" w:rsidR="007324D9" w:rsidRDefault="007324D9" w:rsidP="007324D9"/>
    <w:p w14:paraId="7C381561" w14:textId="77777777" w:rsidR="007324D9" w:rsidRDefault="007324D9" w:rsidP="007324D9"/>
    <w:sectPr w:rsidR="007324D9" w:rsidSect="0016317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바탕">
    <w:charset w:val="81"/>
    <w:family w:val="auto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맑은 고딕">
    <w:altName w:val="Helvetica"/>
    <w:charset w:val="81"/>
    <w:family w:val="modern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B8F"/>
    <w:rsid w:val="000C6B8F"/>
    <w:rsid w:val="0016317B"/>
    <w:rsid w:val="003F07E3"/>
    <w:rsid w:val="00645350"/>
    <w:rsid w:val="00732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BE412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link w:val="CaptionChar"/>
    <w:uiPriority w:val="35"/>
    <w:qFormat/>
    <w:rsid w:val="007324D9"/>
    <w:pPr>
      <w:jc w:val="both"/>
    </w:pPr>
    <w:rPr>
      <w:rFonts w:asciiTheme="majorHAnsi" w:eastAsia="바탕" w:hAnsiTheme="majorHAnsi" w:cs="Times New Roman"/>
      <w:sz w:val="20"/>
      <w:szCs w:val="20"/>
      <w:lang w:bidi="en-US"/>
    </w:rPr>
  </w:style>
  <w:style w:type="paragraph" w:customStyle="1" w:styleId="FigHeading">
    <w:name w:val="FigHeading"/>
    <w:basedOn w:val="Normal"/>
    <w:next w:val="Caption"/>
    <w:qFormat/>
    <w:rsid w:val="007324D9"/>
    <w:pPr>
      <w:jc w:val="both"/>
    </w:pPr>
    <w:rPr>
      <w:rFonts w:asciiTheme="majorHAnsi" w:eastAsia="바탕" w:hAnsiTheme="majorHAnsi" w:cs="Times New Roman"/>
      <w:sz w:val="20"/>
      <w:szCs w:val="22"/>
      <w:lang w:bidi="en-US"/>
    </w:rPr>
  </w:style>
  <w:style w:type="character" w:customStyle="1" w:styleId="CaptionChar">
    <w:name w:val="Caption Char"/>
    <w:link w:val="Caption"/>
    <w:uiPriority w:val="35"/>
    <w:rsid w:val="007324D9"/>
    <w:rPr>
      <w:rFonts w:asciiTheme="majorHAnsi" w:eastAsia="바탕" w:hAnsiTheme="majorHAnsi" w:cs="Times New Roman"/>
      <w:sz w:val="20"/>
      <w:szCs w:val="20"/>
      <w:lang w:bidi="en-US"/>
    </w:rPr>
  </w:style>
  <w:style w:type="table" w:styleId="TableGrid">
    <w:name w:val="Table Grid"/>
    <w:basedOn w:val="TableNormal"/>
    <w:uiPriority w:val="59"/>
    <w:rsid w:val="007324D9"/>
    <w:rPr>
      <w:rFonts w:ascii="Cambria" w:eastAsia="바탕" w:hAnsi="Cambria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microsoft.com/office/2007/relationships/hdphoto" Target="media/hdphoto1.wdp"/><Relationship Id="rId6" Type="http://schemas.openxmlformats.org/officeDocument/2006/relationships/image" Target="media/image2.jpg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image" Target="media/image5.jp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472</Words>
  <Characters>2692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Todd Nickle</dc:creator>
  <cp:keywords/>
  <dc:description/>
  <cp:lastModifiedBy>Todd Nickle</cp:lastModifiedBy>
  <cp:revision>2</cp:revision>
  <dcterms:created xsi:type="dcterms:W3CDTF">2016-05-23T16:18:00Z</dcterms:created>
  <dcterms:modified xsi:type="dcterms:W3CDTF">2016-05-26T19:49:00Z</dcterms:modified>
</cp:coreProperties>
</file>